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9" w:rsidRPr="00363D09" w:rsidRDefault="00363D09" w:rsidP="00363D09">
      <w:pPr>
        <w:spacing w:after="0" w:line="240" w:lineRule="auto"/>
        <w:jc w:val="right"/>
        <w:rPr>
          <w:sz w:val="18"/>
          <w:szCs w:val="18"/>
          <w:lang w:val="pl-PL"/>
        </w:rPr>
      </w:pPr>
      <w:r w:rsidRPr="00363D09">
        <w:rPr>
          <w:sz w:val="18"/>
          <w:szCs w:val="18"/>
          <w:lang w:val="pl-PL"/>
        </w:rPr>
        <w:t xml:space="preserve">Załącznik nr 1. do U7/378 </w:t>
      </w:r>
    </w:p>
    <w:p w:rsidR="00363D09" w:rsidRDefault="00363D09" w:rsidP="002D0CE4">
      <w:pPr>
        <w:spacing w:after="0" w:line="240" w:lineRule="auto"/>
        <w:jc w:val="center"/>
        <w:rPr>
          <w:b/>
          <w:lang w:val="pl-PL"/>
        </w:rPr>
      </w:pPr>
    </w:p>
    <w:p w:rsidR="00363D09" w:rsidRDefault="00363D09" w:rsidP="002D0CE4">
      <w:pPr>
        <w:spacing w:after="0" w:line="240" w:lineRule="auto"/>
        <w:jc w:val="center"/>
        <w:rPr>
          <w:b/>
          <w:lang w:val="pl-PL"/>
        </w:rPr>
      </w:pPr>
    </w:p>
    <w:p w:rsidR="00363D09" w:rsidRDefault="00363D09" w:rsidP="002D0CE4">
      <w:pPr>
        <w:spacing w:after="0" w:line="240" w:lineRule="auto"/>
        <w:jc w:val="center"/>
        <w:rPr>
          <w:b/>
          <w:lang w:val="pl-PL"/>
        </w:rPr>
      </w:pPr>
    </w:p>
    <w:p w:rsidR="001779E6" w:rsidRDefault="001779E6" w:rsidP="002D0CE4">
      <w:pPr>
        <w:spacing w:after="0" w:line="240" w:lineRule="auto"/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R</w:t>
      </w:r>
      <w:r w:rsidRPr="002D0CE4">
        <w:rPr>
          <w:b/>
          <w:lang w:val="pl-PL"/>
        </w:rPr>
        <w:t>egulamin korzystania z infrastruktury badawczej uczelni</w:t>
      </w:r>
    </w:p>
    <w:p w:rsidR="001779E6" w:rsidRDefault="001779E6" w:rsidP="002D0CE4">
      <w:pPr>
        <w:spacing w:after="0" w:line="240" w:lineRule="auto"/>
        <w:jc w:val="center"/>
        <w:rPr>
          <w:b/>
          <w:lang w:val="pl-PL"/>
        </w:rPr>
      </w:pPr>
    </w:p>
    <w:p w:rsidR="001779E6" w:rsidRDefault="001779E6" w:rsidP="002D0CE4">
      <w:pPr>
        <w:spacing w:after="0" w:line="240" w:lineRule="auto"/>
        <w:jc w:val="center"/>
        <w:rPr>
          <w:b/>
          <w:lang w:val="pl-PL"/>
        </w:rPr>
      </w:pPr>
      <w:r>
        <w:rPr>
          <w:b/>
          <w:lang w:val="pl-PL"/>
        </w:rPr>
        <w:t>§ 1.</w:t>
      </w:r>
    </w:p>
    <w:p w:rsidR="001779E6" w:rsidRDefault="001779E6" w:rsidP="002D0CE4">
      <w:pPr>
        <w:spacing w:after="0" w:line="240" w:lineRule="auto"/>
        <w:jc w:val="center"/>
        <w:rPr>
          <w:b/>
          <w:lang w:val="pl-PL"/>
        </w:rPr>
      </w:pPr>
    </w:p>
    <w:p w:rsidR="001779E6" w:rsidRDefault="001779E6" w:rsidP="00580299">
      <w:pPr>
        <w:spacing w:after="120" w:line="240" w:lineRule="auto"/>
        <w:ind w:left="284" w:hanging="284"/>
        <w:jc w:val="both"/>
        <w:rPr>
          <w:lang w:val="pl-PL"/>
        </w:rPr>
      </w:pPr>
      <w:r w:rsidRPr="00BD2B55">
        <w:rPr>
          <w:lang w:val="pl-PL"/>
        </w:rPr>
        <w:t>1.</w:t>
      </w:r>
      <w:r w:rsidRPr="00BD2B55">
        <w:rPr>
          <w:lang w:val="pl-PL"/>
        </w:rPr>
        <w:tab/>
        <w:t xml:space="preserve">Każdy pracownik, doktorant oraz student UTP prowadzący badania naukowe lub prace rozwojowe </w:t>
      </w:r>
      <w:r>
        <w:rPr>
          <w:lang w:val="pl-PL"/>
        </w:rPr>
        <w:br/>
      </w:r>
      <w:r w:rsidRPr="00BD2B55">
        <w:rPr>
          <w:lang w:val="pl-PL"/>
        </w:rPr>
        <w:t xml:space="preserve">w ramach niegospodarczej działalności Uczelni, ma prawo korzystania z jej </w:t>
      </w:r>
      <w:r>
        <w:rPr>
          <w:lang w:val="pl-PL"/>
        </w:rPr>
        <w:t xml:space="preserve">całej </w:t>
      </w:r>
      <w:r w:rsidRPr="00BD2B55">
        <w:rPr>
          <w:lang w:val="pl-PL"/>
        </w:rPr>
        <w:t>infrastruktury badawczej.</w:t>
      </w:r>
    </w:p>
    <w:p w:rsidR="001779E6" w:rsidRPr="00580299" w:rsidRDefault="001779E6" w:rsidP="00580299">
      <w:pPr>
        <w:spacing w:after="120" w:line="240" w:lineRule="auto"/>
        <w:ind w:left="284" w:hanging="284"/>
        <w:jc w:val="both"/>
        <w:rPr>
          <w:sz w:val="20"/>
          <w:szCs w:val="20"/>
          <w:lang w:val="pl-PL"/>
        </w:rPr>
      </w:pPr>
      <w:r>
        <w:rPr>
          <w:lang w:val="pl-PL"/>
        </w:rPr>
        <w:t>2.</w:t>
      </w:r>
      <w:r>
        <w:rPr>
          <w:lang w:val="pl-PL"/>
        </w:rPr>
        <w:tab/>
        <w:t xml:space="preserve">Dysponentem poszczególnych elementów infrastruktury badawczej jest jednostka, do której przypisano </w:t>
      </w:r>
      <w:r w:rsidRPr="00410E98">
        <w:rPr>
          <w:lang w:val="pl-PL"/>
        </w:rPr>
        <w:t>środki trwałe oraz wartości niematerialne i prawne</w:t>
      </w:r>
      <w:r>
        <w:rPr>
          <w:lang w:val="pl-PL"/>
        </w:rPr>
        <w:t>. W przypadku infrastruktury sieciowej dysponentem jest administrator uczelnianej sieci komputerowej.</w:t>
      </w:r>
    </w:p>
    <w:p w:rsidR="001779E6" w:rsidRPr="00BD2B55" w:rsidRDefault="001779E6" w:rsidP="00580299">
      <w:pPr>
        <w:spacing w:after="12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3.</w:t>
      </w:r>
      <w:r>
        <w:rPr>
          <w:lang w:val="pl-PL"/>
        </w:rPr>
        <w:tab/>
      </w:r>
      <w:r w:rsidRPr="00BD2B55">
        <w:rPr>
          <w:lang w:val="pl-PL"/>
        </w:rPr>
        <w:t>Każdy pracownik, doktorant oraz student UTP prowadzący badania naukowe lub prace rozwojowe</w:t>
      </w:r>
      <w:r>
        <w:rPr>
          <w:lang w:val="pl-PL"/>
        </w:rPr>
        <w:t xml:space="preserve"> ma obowiązek zgłoszenia dysponentowi infrastruktury zamiar jej użycia ze wskazaniem charakteru prowadzonych prac oraz źródeł ich finansowania.</w:t>
      </w:r>
    </w:p>
    <w:p w:rsidR="001779E6" w:rsidRPr="00BD2B55" w:rsidRDefault="001779E6" w:rsidP="00580299">
      <w:pPr>
        <w:spacing w:after="12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4</w:t>
      </w:r>
      <w:r w:rsidRPr="00BD2B55">
        <w:rPr>
          <w:lang w:val="pl-PL"/>
        </w:rPr>
        <w:t>.</w:t>
      </w:r>
      <w:r w:rsidRPr="00BD2B55">
        <w:rPr>
          <w:lang w:val="pl-PL"/>
        </w:rPr>
        <w:tab/>
        <w:t xml:space="preserve">Warunki dostępu określa </w:t>
      </w:r>
      <w:r>
        <w:rPr>
          <w:lang w:val="pl-PL"/>
        </w:rPr>
        <w:t>dysponent</w:t>
      </w:r>
      <w:r w:rsidRPr="00BD2B55">
        <w:rPr>
          <w:lang w:val="pl-PL"/>
        </w:rPr>
        <w:t xml:space="preserve"> infrastruktury, przy czym obejmują one w szczególności:</w:t>
      </w:r>
    </w:p>
    <w:p w:rsidR="001779E6" w:rsidRPr="00580299" w:rsidRDefault="001779E6" w:rsidP="00580299">
      <w:pPr>
        <w:spacing w:after="120" w:line="240" w:lineRule="auto"/>
        <w:ind w:left="426" w:hanging="142"/>
        <w:jc w:val="both"/>
        <w:rPr>
          <w:lang w:val="pl-PL"/>
        </w:rPr>
      </w:pPr>
      <w:r w:rsidRPr="00BD2B55">
        <w:rPr>
          <w:lang w:val="pl-PL"/>
        </w:rPr>
        <w:t>-</w:t>
      </w:r>
      <w:r w:rsidRPr="00BD2B55">
        <w:rPr>
          <w:lang w:val="pl-PL"/>
        </w:rPr>
        <w:tab/>
      </w:r>
      <w:r w:rsidRPr="00580299">
        <w:rPr>
          <w:lang w:val="pl-PL"/>
        </w:rPr>
        <w:t xml:space="preserve">sposób włączenia planowanego użycia infrastruktury do ogólnego harmonogramu prac prowadzonych </w:t>
      </w:r>
      <w:r>
        <w:rPr>
          <w:lang w:val="pl-PL"/>
        </w:rPr>
        <w:br/>
      </w:r>
      <w:r w:rsidRPr="00580299">
        <w:rPr>
          <w:lang w:val="pl-PL"/>
        </w:rPr>
        <w:t>z jej zastosowaniem,</w:t>
      </w:r>
    </w:p>
    <w:p w:rsidR="001779E6" w:rsidRPr="00580299" w:rsidRDefault="001779E6" w:rsidP="00580299">
      <w:pPr>
        <w:spacing w:after="120" w:line="240" w:lineRule="auto"/>
        <w:ind w:left="426" w:hanging="142"/>
        <w:jc w:val="both"/>
        <w:rPr>
          <w:lang w:val="pl-PL"/>
        </w:rPr>
      </w:pPr>
      <w:r w:rsidRPr="00580299">
        <w:rPr>
          <w:lang w:val="pl-PL"/>
        </w:rPr>
        <w:t>-</w:t>
      </w:r>
      <w:r w:rsidRPr="00580299">
        <w:rPr>
          <w:lang w:val="pl-PL"/>
        </w:rPr>
        <w:tab/>
        <w:t>wysokość kosztów eksploatacji i obsługi infrastruktury badawczej w zakresie planowanych prac,</w:t>
      </w:r>
    </w:p>
    <w:p w:rsidR="001779E6" w:rsidRPr="00945742" w:rsidRDefault="001779E6" w:rsidP="00580299">
      <w:pPr>
        <w:spacing w:after="120" w:line="240" w:lineRule="auto"/>
        <w:ind w:left="426" w:hanging="142"/>
        <w:jc w:val="both"/>
        <w:rPr>
          <w:lang w:val="pl-PL"/>
        </w:rPr>
      </w:pPr>
      <w:r w:rsidRPr="00580299">
        <w:rPr>
          <w:lang w:val="pl-PL"/>
        </w:rPr>
        <w:t>-</w:t>
      </w:r>
      <w:r w:rsidRPr="00580299">
        <w:rPr>
          <w:lang w:val="pl-PL"/>
        </w:rPr>
        <w:tab/>
        <w:t>zasady prowadzenia prac, z uwzględnieniem przepisów bhp, ochrony ppoż., zabezpieczenia mienia</w:t>
      </w:r>
      <w:r>
        <w:rPr>
          <w:lang w:val="pl-PL"/>
        </w:rPr>
        <w:t>.</w:t>
      </w:r>
    </w:p>
    <w:p w:rsidR="001779E6" w:rsidRPr="004943D5" w:rsidRDefault="001779E6" w:rsidP="00580299">
      <w:pPr>
        <w:spacing w:after="12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5</w:t>
      </w:r>
      <w:r w:rsidRPr="00BD2B55">
        <w:rPr>
          <w:lang w:val="pl-PL"/>
        </w:rPr>
        <w:t>.</w:t>
      </w:r>
      <w:r w:rsidRPr="00BD2B55">
        <w:rPr>
          <w:lang w:val="pl-PL"/>
        </w:rPr>
        <w:tab/>
      </w:r>
      <w:r w:rsidRPr="004943D5">
        <w:rPr>
          <w:lang w:val="pl-PL"/>
        </w:rPr>
        <w:t xml:space="preserve">Zabrania się wykorzystywania infrastruktury badawczej pozyskanej w ramach projektów </w:t>
      </w:r>
      <w:r w:rsidRPr="004943D5">
        <w:rPr>
          <w:i/>
          <w:lang w:val="pl-PL"/>
        </w:rPr>
        <w:t xml:space="preserve"> </w:t>
      </w:r>
      <w:r w:rsidRPr="004943D5">
        <w:rPr>
          <w:lang w:val="pl-PL"/>
        </w:rPr>
        <w:t xml:space="preserve">finansowanych lub współfinansowanych ze środków pochodzących z funduszy strukturalnych bez pomocy publicznej do prowadzenia działalności o charakterze komercyjnym, tzn. generującej przychód opodatkowany. Każde odstępstwo od powyższego zakazu wymaga indywidualnej interpretacji warunków pozyskania </w:t>
      </w:r>
      <w:r w:rsidRPr="004943D5">
        <w:rPr>
          <w:lang w:val="pl-PL"/>
        </w:rPr>
        <w:br/>
        <w:t>i użytkowania infrastruktury badawczej i zgody Rektora UTP.</w:t>
      </w:r>
    </w:p>
    <w:p w:rsidR="001779E6" w:rsidRPr="00BD2B55" w:rsidRDefault="001779E6" w:rsidP="00BA2C15">
      <w:pPr>
        <w:spacing w:after="0" w:line="240" w:lineRule="auto"/>
        <w:ind w:left="284" w:hanging="284"/>
        <w:rPr>
          <w:lang w:val="pl-PL"/>
        </w:rPr>
      </w:pPr>
    </w:p>
    <w:p w:rsidR="001779E6" w:rsidRDefault="001779E6" w:rsidP="00BA2C15">
      <w:pPr>
        <w:spacing w:after="0" w:line="24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§ 2. </w:t>
      </w:r>
    </w:p>
    <w:p w:rsidR="001779E6" w:rsidRDefault="001779E6" w:rsidP="00BA2C15">
      <w:pPr>
        <w:spacing w:after="0" w:line="240" w:lineRule="auto"/>
        <w:jc w:val="center"/>
        <w:rPr>
          <w:b/>
          <w:lang w:val="pl-PL"/>
        </w:rPr>
      </w:pPr>
    </w:p>
    <w:p w:rsidR="001779E6" w:rsidRPr="00BD2B55" w:rsidRDefault="001779E6" w:rsidP="004943D5">
      <w:pPr>
        <w:spacing w:after="120" w:line="240" w:lineRule="auto"/>
        <w:ind w:left="284" w:hanging="284"/>
        <w:jc w:val="both"/>
        <w:rPr>
          <w:lang w:val="pl-PL"/>
        </w:rPr>
      </w:pPr>
      <w:r w:rsidRPr="00BD2B55">
        <w:rPr>
          <w:lang w:val="pl-PL"/>
        </w:rPr>
        <w:t>1.</w:t>
      </w:r>
      <w:r w:rsidRPr="00BD2B55">
        <w:rPr>
          <w:lang w:val="pl-PL"/>
        </w:rPr>
        <w:tab/>
        <w:t xml:space="preserve">Infrastruktura badawcza Uczelni może być udostępniona podmiotom zewnętrznym </w:t>
      </w:r>
      <w:r>
        <w:rPr>
          <w:lang w:val="pl-PL"/>
        </w:rPr>
        <w:t xml:space="preserve">wyłącznie </w:t>
      </w:r>
      <w:r>
        <w:rPr>
          <w:lang w:val="pl-PL"/>
        </w:rPr>
        <w:br/>
      </w:r>
      <w:r w:rsidRPr="00BD2B55">
        <w:rPr>
          <w:lang w:val="pl-PL"/>
        </w:rPr>
        <w:t>na zasadach rynkowych.</w:t>
      </w:r>
    </w:p>
    <w:p w:rsidR="001779E6" w:rsidRPr="00BD2B55" w:rsidRDefault="001779E6" w:rsidP="004943D5">
      <w:pPr>
        <w:spacing w:after="120" w:line="240" w:lineRule="auto"/>
        <w:ind w:left="284" w:hanging="284"/>
        <w:jc w:val="both"/>
        <w:rPr>
          <w:lang w:val="pl-PL"/>
        </w:rPr>
      </w:pPr>
      <w:r w:rsidRPr="00BD2B55">
        <w:rPr>
          <w:lang w:val="pl-PL"/>
        </w:rPr>
        <w:t>2.</w:t>
      </w:r>
      <w:r w:rsidRPr="00BD2B55">
        <w:rPr>
          <w:lang w:val="pl-PL"/>
        </w:rPr>
        <w:tab/>
        <w:t xml:space="preserve">Wysokość opłat za korzystanie z infrastruktury określa jednostka będąca dysponentem infrastruktury, przy czym mogą one być przedstawione zarówno w formie cennika, jak i mieć charakter uzgodnienia </w:t>
      </w:r>
      <w:r>
        <w:rPr>
          <w:lang w:val="pl-PL"/>
        </w:rPr>
        <w:br/>
      </w:r>
      <w:r w:rsidRPr="00BD2B55">
        <w:rPr>
          <w:lang w:val="pl-PL"/>
        </w:rPr>
        <w:t>z podmiotem zewnętrznym.</w:t>
      </w:r>
    </w:p>
    <w:p w:rsidR="001779E6" w:rsidRPr="004943D5" w:rsidRDefault="001779E6" w:rsidP="004943D5">
      <w:pPr>
        <w:spacing w:after="12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3.</w:t>
      </w:r>
      <w:r>
        <w:rPr>
          <w:lang w:val="pl-PL"/>
        </w:rPr>
        <w:tab/>
      </w:r>
      <w:r w:rsidRPr="004943D5">
        <w:rPr>
          <w:lang w:val="pl-PL"/>
        </w:rPr>
        <w:t xml:space="preserve">Zabrania się udostępniania podmiotom zewnętrznym infrastruktury badawczej pozyskanej w ramach projektów finansowanych lub współfinansowanych ze środków pochodzących z funduszy strukturalnych bez pomocy publicznej na zasadach komercyjnych, tzn. generującej przychód opodatkowany. Każde odstępstwo od powyższego zakazu wymaga indywidualnej interpretacji warunków pozyskania </w:t>
      </w:r>
      <w:r w:rsidRPr="004943D5">
        <w:rPr>
          <w:lang w:val="pl-PL"/>
        </w:rPr>
        <w:br/>
        <w:t>i użytkowania infrastruktury badawczej i zgody Rektora UTP.</w:t>
      </w:r>
    </w:p>
    <w:p w:rsidR="001779E6" w:rsidRDefault="001779E6" w:rsidP="00410E98">
      <w:pPr>
        <w:spacing w:after="120" w:line="240" w:lineRule="auto"/>
        <w:ind w:left="284" w:hanging="284"/>
        <w:jc w:val="center"/>
        <w:rPr>
          <w:b/>
          <w:lang w:val="pl-PL"/>
        </w:rPr>
      </w:pPr>
      <w:r>
        <w:rPr>
          <w:b/>
          <w:lang w:val="pl-PL"/>
        </w:rPr>
        <w:t xml:space="preserve">§ 3. </w:t>
      </w:r>
    </w:p>
    <w:p w:rsidR="001779E6" w:rsidRPr="00BD2B55" w:rsidRDefault="001779E6" w:rsidP="00BE1937">
      <w:pPr>
        <w:spacing w:after="120" w:line="240" w:lineRule="auto"/>
        <w:ind w:left="284" w:hanging="284"/>
        <w:jc w:val="both"/>
        <w:rPr>
          <w:lang w:val="pl-PL"/>
        </w:rPr>
      </w:pPr>
      <w:r w:rsidRPr="00BD2B55">
        <w:rPr>
          <w:lang w:val="pl-PL"/>
        </w:rPr>
        <w:t>1.</w:t>
      </w:r>
      <w:r w:rsidRPr="00BD2B55">
        <w:rPr>
          <w:lang w:val="pl-PL"/>
        </w:rPr>
        <w:tab/>
        <w:t xml:space="preserve">Zakres </w:t>
      </w:r>
      <w:r>
        <w:rPr>
          <w:lang w:val="pl-PL"/>
        </w:rPr>
        <w:t xml:space="preserve">i sposób </w:t>
      </w:r>
      <w:r w:rsidRPr="00BD2B55">
        <w:rPr>
          <w:lang w:val="pl-PL"/>
        </w:rPr>
        <w:t xml:space="preserve">wykorzystania infrastruktury </w:t>
      </w:r>
      <w:r>
        <w:rPr>
          <w:lang w:val="pl-PL"/>
        </w:rPr>
        <w:t xml:space="preserve">badawczej UTP </w:t>
      </w:r>
      <w:r w:rsidRPr="00BD2B55">
        <w:rPr>
          <w:lang w:val="pl-PL"/>
        </w:rPr>
        <w:t>musi uwzględniać ograniczenia wynikające z obowiązującego prawa oraz warunków na których pozyskano infrastrukturę badawczą, w tym zapisów umów o finansowanie lub współfinansowanie jej zakupu, wytworzenia lub utrzymania.</w:t>
      </w:r>
    </w:p>
    <w:p w:rsidR="001779E6" w:rsidRPr="00BD2B55" w:rsidRDefault="001779E6" w:rsidP="00BE1937">
      <w:pPr>
        <w:spacing w:after="120" w:line="240" w:lineRule="auto"/>
        <w:ind w:left="284" w:hanging="284"/>
        <w:jc w:val="both"/>
        <w:rPr>
          <w:lang w:val="pl-PL"/>
        </w:rPr>
      </w:pPr>
      <w:r w:rsidRPr="00BD2B55">
        <w:rPr>
          <w:lang w:val="pl-PL"/>
        </w:rPr>
        <w:t>2.</w:t>
      </w:r>
      <w:r w:rsidRPr="00BD2B55">
        <w:rPr>
          <w:lang w:val="pl-PL"/>
        </w:rPr>
        <w:tab/>
        <w:t>Za skutki</w:t>
      </w:r>
      <w:r>
        <w:rPr>
          <w:lang w:val="pl-PL"/>
        </w:rPr>
        <w:t xml:space="preserve"> prawne oraz</w:t>
      </w:r>
      <w:r w:rsidRPr="00BD2B55">
        <w:rPr>
          <w:lang w:val="pl-PL"/>
        </w:rPr>
        <w:t xml:space="preserve"> </w:t>
      </w:r>
      <w:r>
        <w:rPr>
          <w:lang w:val="pl-PL"/>
        </w:rPr>
        <w:t>finansowe niewłaściwego wykorzystania infrastruktury badawczej odpowiada jednostka będąca jej dysponentem.</w:t>
      </w:r>
    </w:p>
    <w:sectPr w:rsidR="001779E6" w:rsidRPr="00BD2B55" w:rsidSect="00FC20E0">
      <w:pgSz w:w="11906" w:h="16838"/>
      <w:pgMar w:top="964" w:right="96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93"/>
    <w:multiLevelType w:val="hybridMultilevel"/>
    <w:tmpl w:val="65141752"/>
    <w:lvl w:ilvl="0" w:tplc="46B288A4">
      <w:start w:val="1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937C8E"/>
    <w:multiLevelType w:val="hybridMultilevel"/>
    <w:tmpl w:val="46D00FE2"/>
    <w:lvl w:ilvl="0" w:tplc="D0062EE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CCE6FF8"/>
    <w:multiLevelType w:val="hybridMultilevel"/>
    <w:tmpl w:val="1CB6CFDE"/>
    <w:lvl w:ilvl="0" w:tplc="7D4C413C">
      <w:start w:val="1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1227D64"/>
    <w:multiLevelType w:val="hybridMultilevel"/>
    <w:tmpl w:val="81CC0318"/>
    <w:lvl w:ilvl="0" w:tplc="B330AA56">
      <w:start w:val="1"/>
      <w:numFmt w:val="decimal"/>
      <w:lvlText w:val="%1)"/>
      <w:lvlJc w:val="left"/>
      <w:pPr>
        <w:tabs>
          <w:tab w:val="num" w:pos="1004"/>
        </w:tabs>
        <w:ind w:left="1004" w:hanging="284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A1362D"/>
    <w:multiLevelType w:val="hybridMultilevel"/>
    <w:tmpl w:val="27043F30"/>
    <w:lvl w:ilvl="0" w:tplc="B330AA56">
      <w:start w:val="1"/>
      <w:numFmt w:val="decimal"/>
      <w:lvlText w:val="%1)"/>
      <w:lvlJc w:val="left"/>
      <w:pPr>
        <w:tabs>
          <w:tab w:val="num" w:pos="1004"/>
        </w:tabs>
        <w:ind w:left="1004" w:hanging="284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17259E"/>
    <w:multiLevelType w:val="hybridMultilevel"/>
    <w:tmpl w:val="D38E9520"/>
    <w:lvl w:ilvl="0" w:tplc="1FA676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8E5210"/>
    <w:multiLevelType w:val="singleLevel"/>
    <w:tmpl w:val="54AA5814"/>
    <w:lvl w:ilvl="0">
      <w:start w:val="10"/>
      <w:numFmt w:val="decimal"/>
      <w:lvlText w:val="%1)"/>
      <w:lvlJc w:val="left"/>
      <w:pPr>
        <w:tabs>
          <w:tab w:val="num" w:pos="284"/>
        </w:tabs>
        <w:ind w:left="170" w:hanging="170"/>
      </w:pPr>
      <w:rPr>
        <w:rFonts w:cs="Times New Roman" w:hint="default"/>
        <w:b w:val="0"/>
        <w:i w:val="0"/>
        <w:color w:val="auto"/>
        <w:sz w:val="22"/>
        <w:szCs w:val="22"/>
      </w:rPr>
    </w:lvl>
  </w:abstractNum>
  <w:abstractNum w:abstractNumId="7">
    <w:nsid w:val="6DB0508A"/>
    <w:multiLevelType w:val="hybridMultilevel"/>
    <w:tmpl w:val="1EE46EB2"/>
    <w:lvl w:ilvl="0" w:tplc="1FA676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132D59"/>
    <w:multiLevelType w:val="hybridMultilevel"/>
    <w:tmpl w:val="E0969B78"/>
    <w:lvl w:ilvl="0" w:tplc="1FA676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A33"/>
    <w:rsid w:val="00035669"/>
    <w:rsid w:val="00046677"/>
    <w:rsid w:val="00074FB5"/>
    <w:rsid w:val="000E5ECB"/>
    <w:rsid w:val="00134A46"/>
    <w:rsid w:val="00145A48"/>
    <w:rsid w:val="00161711"/>
    <w:rsid w:val="00163A96"/>
    <w:rsid w:val="001779E6"/>
    <w:rsid w:val="00193396"/>
    <w:rsid w:val="001E32AD"/>
    <w:rsid w:val="001F33D2"/>
    <w:rsid w:val="00205129"/>
    <w:rsid w:val="002071C1"/>
    <w:rsid w:val="0023676A"/>
    <w:rsid w:val="002713A6"/>
    <w:rsid w:val="00284052"/>
    <w:rsid w:val="002D0CE4"/>
    <w:rsid w:val="002D1A9A"/>
    <w:rsid w:val="002D75E3"/>
    <w:rsid w:val="00303D0D"/>
    <w:rsid w:val="00311253"/>
    <w:rsid w:val="00363D09"/>
    <w:rsid w:val="003A1B52"/>
    <w:rsid w:val="003D64B6"/>
    <w:rsid w:val="003E1FAA"/>
    <w:rsid w:val="003F6759"/>
    <w:rsid w:val="00405F74"/>
    <w:rsid w:val="00410E98"/>
    <w:rsid w:val="00453C4E"/>
    <w:rsid w:val="00464BFD"/>
    <w:rsid w:val="004661BA"/>
    <w:rsid w:val="004943D5"/>
    <w:rsid w:val="004C5B24"/>
    <w:rsid w:val="004D40C5"/>
    <w:rsid w:val="004E359D"/>
    <w:rsid w:val="004F65E0"/>
    <w:rsid w:val="00512BA5"/>
    <w:rsid w:val="00531627"/>
    <w:rsid w:val="00553A27"/>
    <w:rsid w:val="00555EA1"/>
    <w:rsid w:val="00563570"/>
    <w:rsid w:val="00572AD9"/>
    <w:rsid w:val="00580299"/>
    <w:rsid w:val="00583592"/>
    <w:rsid w:val="00593922"/>
    <w:rsid w:val="00593A31"/>
    <w:rsid w:val="005B0292"/>
    <w:rsid w:val="005F6120"/>
    <w:rsid w:val="00610C10"/>
    <w:rsid w:val="00625CF3"/>
    <w:rsid w:val="00650A91"/>
    <w:rsid w:val="006B0BC3"/>
    <w:rsid w:val="006C63B0"/>
    <w:rsid w:val="006E1A1E"/>
    <w:rsid w:val="006F0B90"/>
    <w:rsid w:val="00756AFA"/>
    <w:rsid w:val="007574F3"/>
    <w:rsid w:val="007714AB"/>
    <w:rsid w:val="00787547"/>
    <w:rsid w:val="007B0F04"/>
    <w:rsid w:val="007D1BDB"/>
    <w:rsid w:val="007E0614"/>
    <w:rsid w:val="007E0A33"/>
    <w:rsid w:val="0081335F"/>
    <w:rsid w:val="00831815"/>
    <w:rsid w:val="008416EC"/>
    <w:rsid w:val="008C04D2"/>
    <w:rsid w:val="009163F9"/>
    <w:rsid w:val="00921D4A"/>
    <w:rsid w:val="0092311F"/>
    <w:rsid w:val="009323D0"/>
    <w:rsid w:val="00945742"/>
    <w:rsid w:val="0094584C"/>
    <w:rsid w:val="00962C8B"/>
    <w:rsid w:val="00967492"/>
    <w:rsid w:val="00984629"/>
    <w:rsid w:val="009A0672"/>
    <w:rsid w:val="009A2C3C"/>
    <w:rsid w:val="009A6098"/>
    <w:rsid w:val="009A74F9"/>
    <w:rsid w:val="009D06B8"/>
    <w:rsid w:val="00A20A28"/>
    <w:rsid w:val="00A2765E"/>
    <w:rsid w:val="00A27BE3"/>
    <w:rsid w:val="00A35A0A"/>
    <w:rsid w:val="00A63944"/>
    <w:rsid w:val="00A97816"/>
    <w:rsid w:val="00A97D31"/>
    <w:rsid w:val="00AC6637"/>
    <w:rsid w:val="00AC68C5"/>
    <w:rsid w:val="00AF357E"/>
    <w:rsid w:val="00AF7080"/>
    <w:rsid w:val="00B606DF"/>
    <w:rsid w:val="00B70495"/>
    <w:rsid w:val="00B7686F"/>
    <w:rsid w:val="00B8072B"/>
    <w:rsid w:val="00B9357F"/>
    <w:rsid w:val="00BA2C15"/>
    <w:rsid w:val="00BB624C"/>
    <w:rsid w:val="00BD2B55"/>
    <w:rsid w:val="00BE1937"/>
    <w:rsid w:val="00C86AC7"/>
    <w:rsid w:val="00CD128F"/>
    <w:rsid w:val="00CE47FF"/>
    <w:rsid w:val="00CF42B8"/>
    <w:rsid w:val="00D500C0"/>
    <w:rsid w:val="00D5682D"/>
    <w:rsid w:val="00DB17DA"/>
    <w:rsid w:val="00E25419"/>
    <w:rsid w:val="00E25780"/>
    <w:rsid w:val="00E51954"/>
    <w:rsid w:val="00EC72FA"/>
    <w:rsid w:val="00F07D55"/>
    <w:rsid w:val="00F159B2"/>
    <w:rsid w:val="00F33700"/>
    <w:rsid w:val="00F34110"/>
    <w:rsid w:val="00F43499"/>
    <w:rsid w:val="00F4764D"/>
    <w:rsid w:val="00F67356"/>
    <w:rsid w:val="00F7628F"/>
    <w:rsid w:val="00FB135D"/>
    <w:rsid w:val="00FC20E0"/>
    <w:rsid w:val="00FC7CCC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E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C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7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405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Rektor</cp:lastModifiedBy>
  <cp:revision>12</cp:revision>
  <cp:lastPrinted>2015-02-06T08:54:00Z</cp:lastPrinted>
  <dcterms:created xsi:type="dcterms:W3CDTF">2015-02-19T00:03:00Z</dcterms:created>
  <dcterms:modified xsi:type="dcterms:W3CDTF">2015-03-19T09:52:00Z</dcterms:modified>
</cp:coreProperties>
</file>